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8.png" ContentType="image/png"/>
  <Override PartName="/word/media/rId171.png" ContentType="image/png"/>
  <Override PartName="/word/media/rId174.png" ContentType="image/png"/>
  <Override PartName="/word/media/rId180.png" ContentType="image/png"/>
  <Override PartName="/word/media/rId183.png" ContentType="image/png"/>
  <Override PartName="/word/media/rId165.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bstract"/>
      </w:pPr>
      <w:r>
        <w:t xml:space="preserve">Both</w:t>
      </w:r>
      <w:r>
        <w:t xml:space="preserve"> </w:t>
      </w:r>
      <w:r>
        <w:t xml:space="preserve">internationally</w:t>
      </w:r>
      <w:r>
        <w:t xml:space="preserve"> </w:t>
      </w:r>
      <w:r>
        <w:t xml:space="preserve">and</w:t>
      </w:r>
      <w:r>
        <w:t xml:space="preserve"> </w:t>
      </w:r>
      <w:r>
        <w:t xml:space="preserve">in</w:t>
      </w:r>
      <w:r>
        <w:t xml:space="preserve"> </w:t>
      </w:r>
      <w:r>
        <w:t xml:space="preserve">the</w:t>
      </w:r>
      <w:r>
        <w:t xml:space="preserve"> </w:t>
      </w:r>
      <w:r>
        <w:t xml:space="preserve">U.S.,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is</w:t>
      </w:r>
      <w:r>
        <w:t xml:space="preserve"> </w:t>
      </w:r>
      <w:r>
        <w:t xml:space="preserve">changing</w:t>
      </w:r>
      <w:r>
        <w:t xml:space="preserve"> </w:t>
      </w:r>
      <w:r>
        <w:t xml:space="preserve">rapidly,</w:t>
      </w:r>
      <w:r>
        <w:t xml:space="preserve"> </w:t>
      </w:r>
      <w:r>
        <w:t xml:space="preserve">and</w:t>
      </w:r>
      <w:r>
        <w:t xml:space="preserve"> </w:t>
      </w:r>
      <w:r>
        <w:t xml:space="preserve">surveys</w:t>
      </w:r>
      <w:r>
        <w:t xml:space="preserve"> </w:t>
      </w:r>
      <w:r>
        <w:t xml:space="preserve">report</w:t>
      </w:r>
      <w:r>
        <w:t xml:space="preserve"> </w:t>
      </w:r>
      <w:r>
        <w:t xml:space="preserve">swiftly</w:t>
      </w:r>
      <w:r>
        <w:t xml:space="preserve"> </w:t>
      </w:r>
      <w:r>
        <w:t xml:space="preserve">increasing</w:t>
      </w:r>
      <w:r>
        <w:t xml:space="preserve"> </w:t>
      </w:r>
      <w:r>
        <w:t xml:space="preserve">numbers</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Yet</w:t>
      </w:r>
      <w:r>
        <w:t xml:space="preserve"> </w:t>
      </w:r>
      <w:r>
        <w:t xml:space="preserve">few</w:t>
      </w:r>
      <w:r>
        <w:t xml:space="preserve"> </w:t>
      </w:r>
      <w:r>
        <w:t xml:space="preserve">researchers</w:t>
      </w:r>
      <w:r>
        <w:t xml:space="preserve"> </w:t>
      </w:r>
      <w:r>
        <w:t xml:space="preserve">have</w:t>
      </w:r>
      <w:r>
        <w:t xml:space="preserve"> </w:t>
      </w:r>
      <w:r>
        <w:t xml:space="preserve">examined</w:t>
      </w:r>
      <w:r>
        <w:t xml:space="preserve"> </w:t>
      </w:r>
      <w:r>
        <w:t xml:space="preserve">immigrant-containing</w:t>
      </w:r>
      <w:r>
        <w:t xml:space="preserve"> </w:t>
      </w:r>
      <w:r>
        <w:t xml:space="preserve">lesbian,</w:t>
      </w:r>
      <w:r>
        <w:t xml:space="preserve"> </w:t>
      </w:r>
      <w:r>
        <w:t xml:space="preserve">gay,</w:t>
      </w:r>
      <w:r>
        <w:t xml:space="preserve"> </w:t>
      </w:r>
      <w:r>
        <w:t xml:space="preserve">and</w:t>
      </w:r>
      <w:r>
        <w:t xml:space="preserve"> </w:t>
      </w:r>
      <w:r>
        <w:t xml:space="preserve">bisexual</w:t>
      </w:r>
      <w:r>
        <w:t xml:space="preserve"> </w:t>
      </w:r>
      <w:r>
        <w:t xml:space="preserve">(LGB)</w:t>
      </w:r>
      <w:r>
        <w:t xml:space="preserve"> </w:t>
      </w:r>
      <w:r>
        <w:t xml:space="preserve">couples</w:t>
      </w:r>
      <w:r>
        <w:t xml:space="preserve"> </w:t>
      </w:r>
      <w:r>
        <w:t xml:space="preserve">on</w:t>
      </w:r>
      <w:r>
        <w:t xml:space="preserve"> </w:t>
      </w:r>
      <w:r>
        <w:t xml:space="preserve">a</w:t>
      </w:r>
      <w:r>
        <w:t xml:space="preserve"> </w:t>
      </w:r>
      <w:r>
        <w:t xml:space="preserve">large</w:t>
      </w:r>
      <w:r>
        <w:t xml:space="preserve"> </w:t>
      </w:r>
      <w:r>
        <w:t xml:space="preserve">scale,</w:t>
      </w:r>
      <w:r>
        <w:t xml:space="preserve"> </w:t>
      </w:r>
      <w:r>
        <w:t xml:space="preserve">especially</w:t>
      </w:r>
      <w:r>
        <w:t xml:space="preserve"> </w:t>
      </w:r>
      <w:r>
        <w:t xml:space="preserve">regarding</w:t>
      </w:r>
      <w:r>
        <w:t xml:space="preserve"> </w:t>
      </w:r>
      <w:r>
        <w:t xml:space="preserve">their</w:t>
      </w:r>
      <w:r>
        <w:t xml:space="preserve"> </w:t>
      </w:r>
      <w:r>
        <w:t xml:space="preserve">relationship</w:t>
      </w:r>
      <w:r>
        <w:t xml:space="preserve"> </w:t>
      </w:r>
      <w:r>
        <w:t xml:space="preserve">to</w:t>
      </w:r>
      <w:r>
        <w:t xml:space="preserve"> </w:t>
      </w:r>
      <w:r>
        <w:t xml:space="preserve">LGB</w:t>
      </w:r>
      <w:r>
        <w:t xml:space="preserve"> </w:t>
      </w:r>
      <w:r>
        <w:t xml:space="preserve">policy.</w:t>
      </w:r>
      <w:r>
        <w:t xml:space="preserve"> </w:t>
      </w:r>
      <w:r>
        <w:t xml:space="preserve">Are</w:t>
      </w:r>
      <w:r>
        <w:t xml:space="preserve"> </w:t>
      </w:r>
      <w:r>
        <w:t xml:space="preserve">these</w:t>
      </w:r>
      <w:r>
        <w:t xml:space="preserve"> </w:t>
      </w:r>
      <w:r>
        <w:t xml:space="preserve">immigrants</w:t>
      </w:r>
      <w:r>
        <w:t xml:space="preserve"> </w:t>
      </w:r>
      <w:r>
        <w:t xml:space="preserve">disadvantaged</w:t>
      </w:r>
      <w:r>
        <w:t xml:space="preserve"> </w:t>
      </w:r>
      <w:r>
        <w:t xml:space="preserve">and</w:t>
      </w:r>
      <w:r>
        <w:t xml:space="preserve"> </w:t>
      </w:r>
      <w:r>
        <w:t xml:space="preserve">fleeing</w:t>
      </w:r>
      <w:r>
        <w:t xml:space="preserve"> </w:t>
      </w:r>
      <w:r>
        <w:t xml:space="preserve">anti-LGB</w:t>
      </w:r>
      <w:r>
        <w:t xml:space="preserve"> </w:t>
      </w:r>
      <w:r>
        <w:t xml:space="preserve">contexts,</w:t>
      </w:r>
      <w:r>
        <w:t xml:space="preserve"> </w:t>
      </w:r>
      <w:r>
        <w:t xml:space="preserve">or</w:t>
      </w:r>
      <w:r>
        <w:t xml:space="preserve"> </w:t>
      </w:r>
      <w:r>
        <w:t xml:space="preserve">empowered</w:t>
      </w:r>
      <w:r>
        <w:t xml:space="preserve"> </w:t>
      </w:r>
      <w:r>
        <w:t xml:space="preserve">to</w:t>
      </w:r>
      <w:r>
        <w:t xml:space="preserve"> </w:t>
      </w:r>
      <w:r>
        <w:t xml:space="preserve">migrate</w:t>
      </w:r>
      <w:r>
        <w:t xml:space="preserve"> </w:t>
      </w:r>
      <w:r>
        <w:t xml:space="preserve">by</w:t>
      </w:r>
      <w:r>
        <w:t xml:space="preserve"> </w:t>
      </w:r>
      <w:r>
        <w:t xml:space="preserve">progressive</w:t>
      </w:r>
      <w:r>
        <w:t xml:space="preserve"> </w:t>
      </w:r>
      <w:r>
        <w:t xml:space="preserve">origin-country</w:t>
      </w:r>
      <w:r>
        <w:t xml:space="preserve"> </w:t>
      </w:r>
      <w:r>
        <w:t xml:space="preserve">LGB</w:t>
      </w:r>
      <w:r>
        <w:t xml:space="preserve"> </w:t>
      </w:r>
      <w:r>
        <w:t xml:space="preserve">policy?</w:t>
      </w:r>
      <w:r>
        <w:t xml:space="preserve"> </w:t>
      </w:r>
      <w:r>
        <w:t xml:space="preserve">Using</w:t>
      </w:r>
      <w:r>
        <w:t xml:space="preserve"> </w:t>
      </w:r>
      <w:r>
        <w:t xml:space="preserve">the</w:t>
      </w:r>
      <w:r>
        <w:t xml:space="preserve"> </w:t>
      </w:r>
      <w:r>
        <w:t xml:space="preserve">American</w:t>
      </w:r>
      <w:r>
        <w:t xml:space="preserve"> </w:t>
      </w:r>
      <w:r>
        <w:t xml:space="preserve">Community</w:t>
      </w:r>
      <w:r>
        <w:t xml:space="preserve"> </w:t>
      </w:r>
      <w:r>
        <w:t xml:space="preserve">Survey</w:t>
      </w:r>
      <w:r>
        <w:t xml:space="preserve"> </w:t>
      </w:r>
      <w:r>
        <w:t xml:space="preserve">from</w:t>
      </w:r>
      <w:r>
        <w:t xml:space="preserve"> </w:t>
      </w:r>
      <w:r>
        <w:t xml:space="preserve">2008</w:t>
      </w:r>
      <w:r>
        <w:t xml:space="preserve"> </w:t>
      </w:r>
      <w:r>
        <w:t xml:space="preserve">to</w:t>
      </w:r>
      <w:r>
        <w:t xml:space="preserve"> </w:t>
      </w:r>
      <w:r>
        <w:t xml:space="preserve">2019</w:t>
      </w:r>
      <w:r>
        <w:t xml:space="preserve"> </w:t>
      </w:r>
      <w:r>
        <w:t xml:space="preserve">and</w:t>
      </w:r>
      <w:r>
        <w:t xml:space="preserve"> </w:t>
      </w:r>
      <w:r>
        <w:t xml:space="preserve">original</w:t>
      </w:r>
      <w:r>
        <w:t xml:space="preserve"> </w:t>
      </w:r>
      <w:r>
        <w:t xml:space="preserve">datasets</w:t>
      </w:r>
      <w:r>
        <w:t xml:space="preserve"> </w:t>
      </w:r>
      <w:r>
        <w:t xml:space="preserve">indexing</w:t>
      </w:r>
      <w:r>
        <w:t xml:space="preserve"> </w:t>
      </w:r>
      <w:r>
        <w:t xml:space="preserve">LGB</w:t>
      </w:r>
      <w:r>
        <w:t xml:space="preserve"> </w:t>
      </w:r>
      <w:r>
        <w:t xml:space="preserve">policy</w:t>
      </w:r>
      <w:r>
        <w:t xml:space="preserve"> </w:t>
      </w:r>
      <w:r>
        <w:t xml:space="preserve">changes</w:t>
      </w:r>
      <w:r>
        <w:t xml:space="preserve"> </w:t>
      </w:r>
      <w:r>
        <w:t xml:space="preserve">in</w:t>
      </w:r>
      <w:r>
        <w:t xml:space="preserve"> </w:t>
      </w:r>
      <w:r>
        <w:t xml:space="preserve">121</w:t>
      </w:r>
      <w:r>
        <w:t xml:space="preserve"> </w:t>
      </w:r>
      <w:r>
        <w:t xml:space="preserve">countries</w:t>
      </w:r>
      <w:r>
        <w:t xml:space="preserve"> </w:t>
      </w:r>
      <w:r>
        <w:t xml:space="preserve">and</w:t>
      </w:r>
      <w:r>
        <w:t xml:space="preserve"> </w:t>
      </w:r>
      <w:r>
        <w:t xml:space="preserve">all</w:t>
      </w:r>
      <w:r>
        <w:t xml:space="preserve"> </w:t>
      </w:r>
      <w:r>
        <w:t xml:space="preserve">U.S.</w:t>
      </w:r>
      <w:r>
        <w:t xml:space="preserve"> </w:t>
      </w:r>
      <w:r>
        <w:t xml:space="preserve">states,</w:t>
      </w:r>
      <w:r>
        <w:t xml:space="preserve"> </w:t>
      </w:r>
      <w:r>
        <w:t xml:space="preserve">this</w:t>
      </w:r>
      <w:r>
        <w:t xml:space="preserve"> </w:t>
      </w:r>
      <w:r>
        <w:t xml:space="preserve">study</w:t>
      </w:r>
      <w:r>
        <w:t xml:space="preserve"> </w:t>
      </w:r>
      <w:r>
        <w:t xml:space="preserve">assesses</w:t>
      </w:r>
      <w:r>
        <w:t xml:space="preserve"> </w:t>
      </w:r>
      <w:r>
        <w:t xml:space="preserve">and</w:t>
      </w:r>
      <w:r>
        <w:t xml:space="preserve"> </w:t>
      </w:r>
      <w:r>
        <w:t xml:space="preserve">characterizes</w:t>
      </w:r>
      <w:r>
        <w:t xml:space="preserve"> </w:t>
      </w:r>
      <w:r>
        <w:t xml:space="preserve">the</w:t>
      </w:r>
      <w:r>
        <w:t xml:space="preserve"> </w:t>
      </w:r>
      <w:r>
        <w:t xml:space="preserve">scale</w:t>
      </w:r>
      <w:r>
        <w:t xml:space="preserve"> </w:t>
      </w:r>
      <w:r>
        <w:t xml:space="preserve">of</w:t>
      </w:r>
      <w:r>
        <w:t xml:space="preserve"> </w:t>
      </w:r>
      <w:r>
        <w:t xml:space="preserve">LGB</w:t>
      </w:r>
      <w:r>
        <w:t xml:space="preserve"> </w:t>
      </w:r>
      <w:r>
        <w:t xml:space="preserve">migration</w:t>
      </w:r>
      <w:r>
        <w:t xml:space="preserve"> </w:t>
      </w:r>
      <w:r>
        <w:t xml:space="preserve">to</w:t>
      </w:r>
      <w:r>
        <w:t xml:space="preserve"> </w:t>
      </w:r>
      <w:r>
        <w:t xml:space="preserve">the</w:t>
      </w:r>
      <w:r>
        <w:t xml:space="preserve"> </w:t>
      </w:r>
      <w:r>
        <w:t xml:space="preserve">U.S.</w:t>
      </w:r>
      <w:r>
        <w:t xml:space="preserve"> </w:t>
      </w:r>
      <w:r>
        <w:t xml:space="preserve">as</w:t>
      </w:r>
      <w:r>
        <w:t xml:space="preserve"> </w:t>
      </w:r>
      <w:r>
        <w:t xml:space="preserve">well</w:t>
      </w:r>
      <w:r>
        <w:t xml:space="preserve"> </w:t>
      </w:r>
      <w:r>
        <w:t xml:space="preserve">as</w:t>
      </w:r>
      <w:r>
        <w:t xml:space="preserve"> </w:t>
      </w:r>
      <w:r>
        <w:t xml:space="preserve">the</w:t>
      </w:r>
      <w:r>
        <w:t xml:space="preserve"> </w:t>
      </w:r>
      <w:r>
        <w:t xml:space="preserve">role</w:t>
      </w:r>
      <w:r>
        <w:t xml:space="preserve"> </w:t>
      </w:r>
      <w:r>
        <w:t xml:space="preserve">of</w:t>
      </w:r>
      <w:r>
        <w:t xml:space="preserve"> </w:t>
      </w:r>
      <w:r>
        <w:t xml:space="preserve">LGB</w:t>
      </w:r>
      <w:r>
        <w:t xml:space="preserve"> </w:t>
      </w:r>
      <w:r>
        <w:t xml:space="preserve">policy.</w:t>
      </w:r>
      <w:r>
        <w:t xml:space="preserve"> </w:t>
      </w:r>
      <w:r>
        <w:t xml:space="preserve">Compared</w:t>
      </w:r>
      <w:r>
        <w:t xml:space="preserve"> </w:t>
      </w:r>
      <w:r>
        <w:t xml:space="preserve">to</w:t>
      </w:r>
      <w:r>
        <w:t xml:space="preserve"> </w:t>
      </w:r>
      <w:r>
        <w:t xml:space="preserve">those</w:t>
      </w:r>
      <w:r>
        <w:t xml:space="preserve"> </w:t>
      </w:r>
      <w:r>
        <w:t xml:space="preserve">in</w:t>
      </w:r>
      <w:r>
        <w:t xml:space="preserve"> </w:t>
      </w:r>
      <w:r>
        <w:t xml:space="preserve">different-sex</w:t>
      </w:r>
      <w:r>
        <w:t xml:space="preserve"> </w:t>
      </w:r>
      <w:r>
        <w:t xml:space="preserve">couples,</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come</w:t>
      </w:r>
      <w:r>
        <w:t xml:space="preserve"> </w:t>
      </w:r>
      <w:r>
        <w:t xml:space="preserve">from</w:t>
      </w:r>
      <w:r>
        <w:t xml:space="preserve"> </w:t>
      </w:r>
      <w:r>
        <w:t xml:space="preserve">richer,</w:t>
      </w:r>
      <w:r>
        <w:t xml:space="preserve"> </w:t>
      </w:r>
      <w:r>
        <w:t xml:space="preserve">more</w:t>
      </w:r>
      <w:r>
        <w:t xml:space="preserve"> </w:t>
      </w:r>
      <w:r>
        <w:t xml:space="preserve">democratic</w:t>
      </w:r>
      <w:r>
        <w:t xml:space="preserve"> </w:t>
      </w:r>
      <w:r>
        <w:t xml:space="preserve">countries</w:t>
      </w:r>
      <w:r>
        <w:t xml:space="preserve"> </w:t>
      </w:r>
      <w:r>
        <w:t xml:space="preserve">that</w:t>
      </w:r>
      <w:r>
        <w:t xml:space="preserve"> </w:t>
      </w:r>
      <w:r>
        <w:t xml:space="preserve">are</w:t>
      </w:r>
      <w:r>
        <w:t xml:space="preserve"> </w:t>
      </w:r>
      <w:r>
        <w:t xml:space="preserve">less</w:t>
      </w:r>
      <w:r>
        <w:t xml:space="preserve"> </w:t>
      </w:r>
      <w:r>
        <w:t xml:space="preserve">represented</w:t>
      </w:r>
      <w:r>
        <w:t xml:space="preserve"> </w:t>
      </w:r>
      <w:r>
        <w:t xml:space="preserve">among</w:t>
      </w:r>
      <w:r>
        <w:t xml:space="preserve"> </w:t>
      </w:r>
      <w:r>
        <w:t xml:space="preserve">immigrants</w:t>
      </w:r>
      <w:r>
        <w:t xml:space="preserve"> </w:t>
      </w:r>
      <w:r>
        <w:t xml:space="preserve">in</w:t>
      </w:r>
      <w:r>
        <w:t xml:space="preserve"> </w:t>
      </w:r>
      <w:r>
        <w:t xml:space="preserve">the</w:t>
      </w:r>
      <w:r>
        <w:t xml:space="preserve"> </w:t>
      </w:r>
      <w:r>
        <w:t xml:space="preserve">U.S.</w:t>
      </w:r>
      <w:r>
        <w:t xml:space="preserve"> </w:t>
      </w:r>
      <w:r>
        <w:t xml:space="preserve">They</w:t>
      </w:r>
      <w:r>
        <w:t xml:space="preserve"> </w:t>
      </w:r>
      <w:r>
        <w:t xml:space="preserve">also</w:t>
      </w:r>
      <w:r>
        <w:t xml:space="preserve"> </w:t>
      </w:r>
      <w:r>
        <w:t xml:space="preserve">tend</w:t>
      </w:r>
      <w:r>
        <w:t xml:space="preserve"> </w:t>
      </w:r>
      <w:r>
        <w:t xml:space="preserve">to</w:t>
      </w:r>
      <w:r>
        <w:t xml:space="preserve"> </w:t>
      </w:r>
      <w:r>
        <w:t xml:space="preserve">be</w:t>
      </w:r>
      <w:r>
        <w:t xml:space="preserve"> </w:t>
      </w:r>
      <w:r>
        <w:t xml:space="preserve">more</w:t>
      </w:r>
      <w:r>
        <w:t xml:space="preserve"> </w:t>
      </w:r>
      <w:r>
        <w:t xml:space="preserve">highly</w:t>
      </w:r>
      <w:r>
        <w:t xml:space="preserve"> </w:t>
      </w:r>
      <w:r>
        <w:t xml:space="preserve">educated,</w:t>
      </w:r>
      <w:r>
        <w:t xml:space="preserve"> </w:t>
      </w:r>
      <w:r>
        <w:t xml:space="preserve">work</w:t>
      </w:r>
      <w:r>
        <w:t xml:space="preserve"> </w:t>
      </w:r>
      <w:r>
        <w:t xml:space="preserve">in</w:t>
      </w:r>
      <w:r>
        <w:t xml:space="preserve"> </w:t>
      </w:r>
      <w:r>
        <w:t xml:space="preserve">more</w:t>
      </w:r>
      <w:r>
        <w:t xml:space="preserve"> </w:t>
      </w:r>
      <w:r>
        <w:t xml:space="preserve">prestigious</w:t>
      </w:r>
      <w:r>
        <w:t xml:space="preserve"> </w:t>
      </w:r>
      <w:r>
        <w:t xml:space="preserve">occupations,</w:t>
      </w:r>
      <w:r>
        <w:t xml:space="preserve"> </w:t>
      </w:r>
      <w:r>
        <w:t xml:space="preserve">and</w:t>
      </w:r>
      <w:r>
        <w:t xml:space="preserve"> </w:t>
      </w:r>
      <w:r>
        <w:t xml:space="preserve">have</w:t>
      </w:r>
      <w:r>
        <w:t xml:space="preserve"> </w:t>
      </w:r>
      <w:r>
        <w:t xml:space="preserve">higher</w:t>
      </w:r>
      <w:r>
        <w:t xml:space="preserve"> </w:t>
      </w:r>
      <w:r>
        <w:t xml:space="preserve">incomes.</w:t>
      </w:r>
      <w:r>
        <w:t xml:space="preserve"> </w:t>
      </w:r>
      <w:r>
        <w:t xml:space="preserve">Contrary</w:t>
      </w:r>
      <w:r>
        <w:t xml:space="preserve"> </w:t>
      </w:r>
      <w:r>
        <w:t xml:space="preserve">to</w:t>
      </w:r>
      <w:r>
        <w:t xml:space="preserve"> </w:t>
      </w:r>
      <w:r>
        <w:t xml:space="preserve">previous</w:t>
      </w:r>
      <w:r>
        <w:t xml:space="preserve"> </w:t>
      </w:r>
      <w:r>
        <w:t xml:space="preserve">work</w:t>
      </w:r>
      <w:r>
        <w:t xml:space="preserve"> </w:t>
      </w:r>
      <w:r>
        <w:t xml:space="preserve">focusing</w:t>
      </w:r>
      <w:r>
        <w:t xml:space="preserve"> </w:t>
      </w:r>
      <w:r>
        <w:t xml:space="preserve">on</w:t>
      </w:r>
      <w:r>
        <w:t xml:space="preserve"> </w:t>
      </w:r>
      <w:r>
        <w:t xml:space="preserve">LGB</w:t>
      </w:r>
      <w:r>
        <w:t xml:space="preserve"> </w:t>
      </w:r>
      <w:r>
        <w:t xml:space="preserve">immigrants</w:t>
      </w:r>
      <w:r>
        <w:t xml:space="preserve"> </w:t>
      </w:r>
      <w:r>
        <w:t xml:space="preserve">from</w:t>
      </w:r>
      <w:r>
        <w:t xml:space="preserve"> </w:t>
      </w:r>
      <w:r>
        <w:t xml:space="preserve">repressive</w:t>
      </w:r>
      <w:r>
        <w:t xml:space="preserve"> </w:t>
      </w:r>
      <w:r>
        <w:t xml:space="preserve">contexts,</w:t>
      </w:r>
      <w:r>
        <w:t xml:space="preserve"> </w:t>
      </w:r>
      <w:r>
        <w:t xml:space="preserve">fixed-effect</w:t>
      </w:r>
      <w:r>
        <w:t xml:space="preserve"> </w:t>
      </w:r>
      <w:r>
        <w:t xml:space="preserve">models</w:t>
      </w:r>
      <w:r>
        <w:t xml:space="preserve"> </w:t>
      </w:r>
      <w:r>
        <w:t xml:space="preserve">show</w:t>
      </w:r>
      <w:r>
        <w:t xml:space="preserve"> </w:t>
      </w:r>
      <w:r>
        <w:t xml:space="preserve">that</w:t>
      </w:r>
      <w:r>
        <w:t xml:space="preserve"> </w:t>
      </w:r>
      <w:r>
        <w:t xml:space="preserve">higher</w:t>
      </w:r>
      <w:r>
        <w:t xml:space="preserve"> </w:t>
      </w:r>
      <w:r>
        <w:t xml:space="preserve">proportions</w:t>
      </w:r>
      <w:r>
        <w:t xml:space="preserve"> </w:t>
      </w:r>
      <w:r>
        <w:t xml:space="preserve">of</w:t>
      </w:r>
      <w:r>
        <w:t xml:space="preserve"> </w:t>
      </w:r>
      <w:r>
        <w:t xml:space="preserve">these</w:t>
      </w:r>
      <w:r>
        <w:t xml:space="preserve"> </w:t>
      </w:r>
      <w:r>
        <w:t xml:space="preserve">immigrants</w:t>
      </w:r>
      <w:r>
        <w:t xml:space="preserve"> </w:t>
      </w:r>
      <w:r>
        <w:t xml:space="preserve">come</w:t>
      </w:r>
      <w:r>
        <w:t xml:space="preserve"> </w:t>
      </w:r>
      <w:r>
        <w:t xml:space="preserve">from</w:t>
      </w:r>
      <w:r>
        <w:t xml:space="preserve"> </w:t>
      </w:r>
      <w:r>
        <w:t xml:space="preserve">LGB-friendly</w:t>
      </w:r>
      <w:r>
        <w:t xml:space="preserve"> </w:t>
      </w:r>
      <w:r>
        <w:t xml:space="preserve">countries,</w:t>
      </w:r>
      <w:r>
        <w:t xml:space="preserve"> </w:t>
      </w:r>
      <w:r>
        <w:t xml:space="preserve">and</w:t>
      </w:r>
      <w:r>
        <w:t xml:space="preserve"> </w:t>
      </w:r>
      <w:r>
        <w:t xml:space="preserve">they</w:t>
      </w:r>
      <w:r>
        <w:t xml:space="preserve"> </w:t>
      </w:r>
      <w:r>
        <w:t xml:space="preserve">are</w:t>
      </w:r>
      <w:r>
        <w:t xml:space="preserve"> </w:t>
      </w:r>
      <w:r>
        <w:t xml:space="preserve">more</w:t>
      </w:r>
      <w:r>
        <w:t xml:space="preserve"> </w:t>
      </w:r>
      <w:r>
        <w:t xml:space="preserve">likely</w:t>
      </w:r>
      <w:r>
        <w:t xml:space="preserve"> </w:t>
      </w:r>
      <w:r>
        <w:t xml:space="preserve">to</w:t>
      </w:r>
      <w:r>
        <w:t xml:space="preserve"> </w:t>
      </w:r>
      <w:r>
        <w:t xml:space="preserve">live</w:t>
      </w:r>
      <w:r>
        <w:t xml:space="preserve"> </w:t>
      </w:r>
      <w:r>
        <w:t xml:space="preserve">in</w:t>
      </w:r>
      <w:r>
        <w:t xml:space="preserve"> </w:t>
      </w:r>
      <w:r>
        <w:t xml:space="preserve">progressive</w:t>
      </w:r>
      <w:r>
        <w:t xml:space="preserve"> </w:t>
      </w:r>
      <w:r>
        <w:t xml:space="preserve">U.S.</w:t>
      </w:r>
      <w:r>
        <w:t xml:space="preserve"> </w:t>
      </w:r>
      <w:r>
        <w:t xml:space="preserve">states.</w:t>
      </w:r>
      <w:r>
        <w:t xml:space="preserve"> </w:t>
      </w:r>
      <w:r>
        <w:t xml:space="preserve">These</w:t>
      </w:r>
      <w:r>
        <w:t xml:space="preserve"> </w:t>
      </w:r>
      <w:r>
        <w:t xml:space="preserve">findings</w:t>
      </w:r>
      <w:r>
        <w:t xml:space="preserve"> </w:t>
      </w:r>
      <w:r>
        <w:t xml:space="preserve">highlight</w:t>
      </w:r>
      <w:r>
        <w:t xml:space="preserve"> </w:t>
      </w:r>
      <w:r>
        <w:t xml:space="preserve">how</w:t>
      </w:r>
      <w:r>
        <w:t xml:space="preserve"> </w:t>
      </w:r>
      <w:r>
        <w:t xml:space="preserve">sexuality</w:t>
      </w:r>
      <w:r>
        <w:t xml:space="preserve"> </w:t>
      </w:r>
      <w:r>
        <w:t xml:space="preserve">as</w:t>
      </w:r>
      <w:r>
        <w:t xml:space="preserve"> </w:t>
      </w:r>
      <w:r>
        <w:t xml:space="preserve">well</w:t>
      </w:r>
      <w:r>
        <w:t xml:space="preserve"> </w:t>
      </w:r>
      <w:r>
        <w:t xml:space="preserve">as</w:t>
      </w:r>
      <w:r>
        <w:t xml:space="preserve"> </w:t>
      </w:r>
      <w:r>
        <w:t xml:space="preserve">state</w:t>
      </w:r>
      <w:r>
        <w:t xml:space="preserve"> </w:t>
      </w:r>
      <w:r>
        <w:t xml:space="preserve">policies</w:t>
      </w:r>
      <w:r>
        <w:t xml:space="preserve"> </w:t>
      </w:r>
      <w:r>
        <w:t xml:space="preserve">seemingly</w:t>
      </w:r>
      <w:r>
        <w:t xml:space="preserve"> </w:t>
      </w:r>
      <w:r>
        <w:t xml:space="preserve">unrelated</w:t>
      </w:r>
      <w:r>
        <w:t xml:space="preserve"> </w:t>
      </w:r>
      <w:r>
        <w:t xml:space="preserve">to</w:t>
      </w:r>
      <w:r>
        <w:t xml:space="preserve"> </w:t>
      </w:r>
      <w:r>
        <w:t xml:space="preserve">migration</w:t>
      </w:r>
      <w:r>
        <w:t xml:space="preserve"> </w:t>
      </w:r>
      <w:r>
        <w:t xml:space="preserve">can</w:t>
      </w:r>
      <w:r>
        <w:t xml:space="preserve"> </w:t>
      </w:r>
      <w:r>
        <w:t xml:space="preserve">shape</w:t>
      </w:r>
      <w:r>
        <w:t xml:space="preserve"> </w:t>
      </w:r>
      <w:r>
        <w:t xml:space="preserve">migratory</w:t>
      </w:r>
      <w:r>
        <w:t xml:space="preserve"> </w:t>
      </w:r>
      <w:r>
        <w:t xml:space="preserve">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 U.S. population of immigrants in same-sex couples has grown rapidly</w:t>
      </w:r>
      <w:r>
        <w:t xml:space="preserve"> </w:t>
      </w:r>
      <w:r>
        <w:t xml:space="preserve">(Redpath, 2022; Ruggles et al., 2021)</w:t>
      </w:r>
      <w:r>
        <w:t xml:space="preserve">. According to American Community Survey data, numbers of different-sex couples including immigrants increased by 13 percent from 2013 to 2019 (from 8.4 million to 9.5 million), while those of corresponding same-sex couples grew from 61 thousand to 107 thousand in the same period, an increase of 76 percent.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to the U.S.,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then,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within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into the U.S.</w:t>
      </w:r>
      <w:r>
        <w:t xml:space="preserve"> </w:t>
      </w:r>
      <w:r>
        <w:t xml:space="preserve"> </w:t>
      </w:r>
      <w:r>
        <w:t xml:space="preserve">This finding is unexpected given existing queer migration scholarship which largely focuses on asylum seekers fleeing repressive contexts and seeking entry into the U.S. and other countries in the Global North</w:t>
      </w:r>
      <w:r>
        <w:t xml:space="preserve"> </w:t>
      </w:r>
      <w:r>
        <w:t xml:space="preserve">(Akin, 2017; Dhoest, 2019; Giametta, 2020a; Karimi, 2020; Murray, 2014; Saleh, 2020; Sam &amp; Finley, 2015)</w:t>
      </w:r>
      <w:r>
        <w:t xml:space="preserve">.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though, several U.S. states have implemented new policies hindering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within this broad umbrella are differentially impacted. Same-sex immigrant couples represent a population especially vulnerable to recent changes. This is because prior to being able to experience recognized rights like marriage or non-discrimination protections, immigrants in same-sex couples must first be able to enter into the U.S. While single queer migrants could potentially enter the U.S. through some existing visa pathways (e.g., employment-sponsored, family-sponsored, asylum), federal U.S. law historically hindered LGB couples’ ability to enter the country due to the government’s lack of recognition of their relationship</w:t>
      </w:r>
      <w:r>
        <w:t xml:space="preserve"> </w:t>
      </w:r>
      <w:r>
        <w:t xml:space="preserve">(Human Rights Watch, 2006)</w:t>
      </w:r>
      <w:r>
        <w:t xml:space="preserve">. While, in theory, queer asylum seekers could enter with a same-sex spouse through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same-sex immigrant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as an important decision point to leave one’s home country</w:t>
      </w:r>
      <w:r>
        <w:t xml:space="preserve"> </w:t>
      </w:r>
      <w:r>
        <w:t xml:space="preserve">(Mole, 2018; Murray, 2016)</w:t>
      </w:r>
      <w:r>
        <w:t xml:space="preserve">. This is partly driven by the transnational flow of information and general visibility of those with diverse sexualities that accompanies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Indeed,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This is partly due to emerging scholarship at the intersection of sexuality and migration being overwhelmingly qualitative. Only recently have representative samples that allow identification of LGB immigrants been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immigrants in same-sex couples operate similarly to those in different-sex couples, then we should see similarly processes at play. Yet, it is clear that LGB-specific policy may introduce a distinct element that can either disrupt or, potentially, attenuate these patterns.</w:t>
      </w:r>
    </w:p>
    <w:p>
      <w:pPr>
        <w:pStyle w:val="BodyText"/>
      </w:pPr>
      <w:r>
        <w:t xml:space="preserve">With these theories in mind, are LGB immigrants in same-sex couples coming from generally repressive or progressive contexts? Though representative research on this population is lacking, existing evidence from qualitative studies document cases supporting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Indeed, numerous studies characterize migrants in same-sex relationships as largely escaping repressive contexts</w:t>
      </w:r>
      <w:r>
        <w:t xml:space="preserve"> </w:t>
      </w:r>
      <w:r>
        <w:t xml:space="preserve">(Akin, 2017; Dhoest, 2019; Giametta, 2020a; Murray, 2014; Saleh, 2020; Sam &amp; Finley, 2015)</w:t>
      </w:r>
      <w:r>
        <w:t xml:space="preserve">. One reason for this prominent characterization of LGB migrants within the U.S. is due to the heavy emphasis on asylum seekers and the asylum process itself – especially since the U.N. guidance note in 2008 and then-President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Although the U.S. is less progressive and inviting compared to many other Western states, high-profile developments such as marriage equality can contribute to an imagined openness relative to many locations around the world. For example, access to gay content in film and on the Internet contributed toward Iranian refugees’ decision to seek sexual freedom in the West</w:t>
      </w:r>
      <w:r>
        <w:t xml:space="preserve"> </w:t>
      </w:r>
      <w:r>
        <w:t xml:space="preserve">(Karimi, 2020)</w:t>
      </w:r>
      <w:r>
        <w:t xml:space="preserve">. Additional research documents how people in comparatively oppressive contexts seek out partners in more equitable locations, like the U.S., who can then sponsor them through the immigration process</w:t>
      </w:r>
      <w:r>
        <w:t xml:space="preserve"> </w:t>
      </w:r>
      <w:r>
        <w:t xml:space="preserve">(Carrillo, 2018; Corey-Boulet, 2019; Kong, 2010)</w:t>
      </w:r>
      <w:r>
        <w:t xml:space="preserve">. This pathway fits within the neoclassical economic theory as LGB individuals seeking asylum into the U.S. or wanting to leave such conditions, generally,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the pathway of immigrants in same-sex couples are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like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such possibilities for themselves. And, relatedly, being from a country where the state recognizes one’s sexuality and validates these relationships may make survey respondents, once in the U.S., more comfortable disclosing their relationship. And, third, these factors may combine to make those coming from countries with progressive policies more legible to migration officials determining access to visas as the enactment of the sexuality and relationship may align more closely to dominant expressions within the U.S.</w:t>
      </w:r>
      <w:r>
        <w:t xml:space="preserve"> </w:t>
      </w:r>
      <w:r>
        <w:t xml:space="preserve">(Edwards, 2013)</w:t>
      </w:r>
      <w:r>
        <w:t xml:space="preserve">.</w:t>
      </w:r>
    </w:p>
    <w:p>
      <w:pPr>
        <w:pStyle w:val="BodyText"/>
      </w:pPr>
      <w:r>
        <w:t xml:space="preserve">Migration from progressive policy contexts can also support traditional migration theories as well. The cost-benefit analysis inherent in neoclassical economic theory could imply that migrants coming from progressive contexts enjoy greater resources and hence face relatively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within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results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variations into account – which they very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 status couples where an immigrant migrated to be with their U.S.-born partner; and (4) mixed status couples that formed in the U.S. In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7,089 immigrants in same-sex couples with complete data. These immigrants are compared to 641,521 corresponding different-sex couples containing 902,692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with different-sex partners. In addition,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594 immigrants in same-sex couples and 47,083 in different-sex couples, or 5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the Online Appendix we also include robustness checks to test the sensitivity of our results to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effects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proportion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then multiply by 100.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36,387 country-state-year observations.</w:t>
      </w:r>
      <w:r>
        <w:rPr>
          <w:rStyle w:val="FootnoteReference"/>
        </w:rPr>
        <w:footnoteReference w:id="25"/>
      </w:r>
      <w:r>
        <w:t xml:space="preserve"> </w:t>
      </w:r>
      <w:r>
        <w:t xml:space="preserve">This reshaping acts to control for aspects of migrant settlement common to immigrants from the same country. To reduce variance, we drop countries with fewer than 150 and U.S. states with fewer than 500 cohabiting immigrants in the U.S. We regress the country-state-survey year proportion on state and sending-country policy scores and adjust for state and origin-country controls (listed below) using OLS.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come from CEPII’s GeoDist dataset</w:t>
      </w:r>
      <w:r>
        <w:t xml:space="preserve"> </w:t>
      </w:r>
      <w:r>
        <w:t xml:space="preserve">(Mayer &amp; Zignago, 2011)</w:t>
      </w:r>
      <w:r>
        <w:t xml:space="preserve">. Difference in living standards, calculated as difference in per capita GDP at purchasing power parity (country of origin minus U.S.),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each country’s immigrant stock by the total number of immigrants in the U.S. in a given year, using the UN’s Trends in International Migrant Stock report for</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like the death penalty for homosexual acts, propaganda laws limiting free speech for LGB communities, and equal age of consent between same-sex and different-sex couples. We remove policies targeting gender identity and transgender communities from the original index. Both state and country indices are created by summing the net total of progressive policies (scored</w:t>
      </w:r>
      <w:r>
        <w:t xml:space="preserve"> </w:t>
      </w:r>
      <m:oMath>
        <m:r>
          <m:rPr>
            <m:sty m:val="p"/>
          </m:rPr>
          <m:t>+</m:t>
        </m:r>
        <m:r>
          <m:t>1</m:t>
        </m:r>
      </m:oMath>
      <w:r>
        <w:t xml:space="preserve">) over regressive policies (scored</w:t>
      </w:r>
      <w:r>
        <w:t xml:space="preserve"> </w:t>
      </w:r>
      <m:oMath>
        <m:r>
          <m:rPr>
            <m:sty m:val="p"/>
          </m:rPr>
          <m:t>−</m:t>
        </m:r>
        <m:r>
          <m:t>1</m:t>
        </m:r>
      </m:oMath>
      <w:r>
        <w:t xml:space="preserve">). For the 121 countries of origin for our sample,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within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3" w:name="results"/>
    <w:p>
      <w:pPr>
        <w:pStyle w:val="Heading1"/>
      </w:pPr>
      <w:r>
        <w:t xml:space="preserve">Results</w:t>
      </w:r>
    </w:p>
    <w:bookmarkStart w:id="31"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is one of the most important motivations for migration. Panel A in Figure</w:t>
      </w:r>
      <w:r>
        <w:t xml:space="preserve"> </w:t>
      </w:r>
      <w:r>
        <w:t xml:space="preserve">2</w:t>
      </w:r>
      <w:r>
        <w:t xml:space="preserve"> </w:t>
      </w:r>
      <w:r>
        <w:t xml:space="preserve">shows that per-capita GDP is indeed higher in the U.S. than the average country of origin for both groups of immigrants, but the gap is significantly greater for immigrants in different-sex couples. This means that immigrants in same-sex couples are coming from countries with higher standards of living than those in different-sex couples. Statistics for the unemployment rate differential (Panel B) indicate similar trends: compared to the countries of origin for immigrants in different-sex,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is the proportion of total immigrants in the U.S. from the country of origin? Compared to different-sex couples, immigrants in same-sex couples immigrated from countries that were less represented in the U.S. population at the time of migration. This indicates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 for country of origin at time of migration. We see that levels of liberal democracy tend to be higher for immigrants in same-sex couples, indicating that political context may play a more important or different role in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show those coming from advantaged countries may still be fleeing individual disadvantage. Figure</w:t>
      </w:r>
      <w:r>
        <w:t xml:space="preserve"> </w:t>
      </w:r>
      <w:r>
        <w:t xml:space="preserve">3</w:t>
      </w:r>
      <w:r>
        <w:t xml:space="preserve"> </w:t>
      </w:r>
      <w:r>
        <w:t xml:space="preserve">presents results from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steadily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within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Montana, Missouri, and Florida still make the list with less affirming policy environments.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1"/>
    <w:bookmarkStart w:id="32"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D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0.92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strength.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 are set to the same value for the entire sample, and the outcome is simulated and averaged over the entire sample. The left panel of Figure</w:t>
      </w:r>
      <w:r>
        <w:t xml:space="preserve"> </w:t>
      </w:r>
      <w:r>
        <w:t xml:space="preserve">7</w:t>
      </w:r>
      <w:r>
        <w:t xml:space="preserve"> </w:t>
      </w:r>
      <w:r>
        <w:t xml:space="preserve">has country-of-origin LGB policy on the horizontal axis and the percentage of immigrants in same-sex couples depending on vertical axis, with separate prediction lines shown for immigrants living in U.S. states with the minimum or maximum LGB policy score. The right panel switches the role of country and state policy. Both panels show that LGB immigrants tend to originate from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augments Model 4 with a dichotomous variable for the post-2013 DOMA decision era, and Model 7 adds the same variable to Model 5. The significant post-2013 variable in both regressions implies that proportions LGB have increased across the country in the past few years. The coefficient for state policy become less important in Model 7, whereas origin-country score retains its effect. This means that, after 2013, the proportion of immigrants in same-sex couples increased across states for those from more progressive countries. With increasingly progressive federal policy, state policy appears to matter less in the post-DOMA era, or to matter only in conjunction with origin-country policy.</w:t>
      </w:r>
    </w:p>
    <w:p>
      <w:pPr>
        <w:pStyle w:val="BodyText"/>
      </w:pPr>
      <w:r>
        <w:t xml:space="preserve">Our results hold up to a variety of robustness checks presented in Section C of the Online Appendix. These include hypothetically high levels of sex misreporting; weighting by the relative size of a country’s immigrant population in the U.S.; and restricting the sample to married, one-immigrant, or two-immigrant couples.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w:t>
      </w:r>
    </w:p>
    <w:bookmarkEnd w:id="32"/>
    <w:bookmarkEnd w:id="33"/>
    <w:bookmarkStart w:id="34"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The research on queer migrants that does exist is largely qualitative and focused on asylum claims. Consequently, we know little about the broader population: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within the U.S. and abroad. Thanks to the 2013 Supreme Court decision striking down DOMA, same-sex couples now have a broader legal pathway into the U.S.</w:t>
      </w:r>
      <w:r>
        <w:t xml:space="preserve"> </w:t>
      </w:r>
      <w:r>
        <w:t xml:space="preserve">(Edwards, 2013)</w:t>
      </w:r>
      <w:r>
        <w:t xml:space="preserve">. This project leverages changing policy landscapes at both country of origin and U.S. state of residence to understand the migratory patterns of these couples. Engaging in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To address our research questions, we take advantage of an underutilized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within the U.S. and to make an important addition to this area of scholarship.</w:t>
      </w:r>
    </w:p>
    <w:p>
      <w:pPr>
        <w:pStyle w:val="BodyText"/>
      </w:pPr>
      <w:r>
        <w:t xml:space="preserve">Our findings offer several important contributions to the literature. First, existing scholarship on immigrants in same-sex couples, and queer migration more broadly, is largely qualitative in nature. Consequently, it is unclear which patterns these studies illuminate generalize across the full population of immigrants in cohabitating, same-sex couples within the U.S. Current queer migration scholarship largely focuses on asylum and refugee processes, for example</w:t>
      </w:r>
      <w:r>
        <w:t xml:space="preserve"> </w:t>
      </w:r>
      <w:r>
        <w:t xml:space="preserve">(Luibhéid, 2008; Vogler, 2016)</w:t>
      </w:r>
      <w:r>
        <w:t xml:space="preserve">. Even research on non-refugee LGB immigrants tends to select cases from relatively repressive contexts</w:t>
      </w:r>
      <w:r>
        <w:t xml:space="preserve"> </w:t>
      </w:r>
      <w:r>
        <w:t xml:space="preserve">(Carrillo, 2018; e.g. Manalansan IV, 2003; Vuckovic Juros, 2022)</w:t>
      </w:r>
      <w:r>
        <w:t xml:space="preserve">. Meanwhile, others contrast this by studying LGB individuals and couples of elite status, but similarly originating from repressive contexts and then moving toward progressive domains</w:t>
      </w:r>
      <w:r>
        <w:t xml:space="preserve"> </w:t>
      </w:r>
      <w:r>
        <w:t xml:space="preserve">(Choi, 2022; Kong, 2010)</w:t>
      </w:r>
      <w:r>
        <w:t xml:space="preserve">. Though such studies are not seeking generalizability, this emphasis within queer migration scholarship can leave an impression that migrating from repressive to relatively more progressive contexts (either real or imagined) is typical. As such, while these experiences certainly occur, such an emphasis potentially distorts our understanding of who these immigrants are, the types of environments they are coming from, and their motivations to seek entry into the U.S. Indeed, when comparing the demographics of same-sex immigrant couples to different-sex immigrant couples, we find same-sex couples generally have higher incomes and occupational prestige and are somewhat more educated. Understanding this profile alone is an important insight; although many queer migrants are fleeing repression, the typical LGB, cohabiting migrant at the population-level within the U.S. is of privileged social standing. Knowing this descriptive point constitutes a substantial amendment to the queer migration literature.</w:t>
      </w:r>
    </w:p>
    <w:p>
      <w:pPr>
        <w:pStyle w:val="BodyText"/>
      </w:pPr>
      <w:r>
        <w:t xml:space="preserve">Second, we build upon our understanding of who these migrants are by assessing how LGB policies at their country of origin influence patterns of migration. Despite existing scholarship portraying LGB couples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couples are coming from environments that are increasingly more open. This is true even after accounting for factors from long-standing migration models. Though more research is needed, these results, in conjunction with the fact that these same-sex couples achieve higher incomes and greater occupational prestige, describe a situation in which perhaps it is precisely due to the supportive policy environment, access to material benefits that come from marriage and employment protections, and cultural and state validation of these family formations that enable immigrants to achieve the resources necessary to migrate, seek out partnerships, and/or successfully navigate the U.S. immigration to acquire a visa. Such an explanation fits within an aspirations-capabilities framework</w:t>
      </w:r>
      <w:r>
        <w:t xml:space="preserve"> </w:t>
      </w:r>
      <w:r>
        <w:t xml:space="preserve">(de Haas, 2021)</w:t>
      </w:r>
      <w:r>
        <w:t xml:space="preserve">: Migration is enabled when desires and resources align within an auspicious international opportunity structure.</w:t>
      </w:r>
      <w:r>
        <w:br/>
      </w:r>
    </w:p>
    <w:p>
      <w:pPr>
        <w:pStyle w:val="BodyText"/>
      </w:pPr>
      <w:r>
        <w:t xml:space="preserve">And, third, after immigrants within same-sex couples migrate to the U.S., we find that they tend to cluster in states with more progressive policy environments, net of confounders. This finding is important as it helps to address a particular puzzle in LGB international migration. As a whole, the U.S. has less affirming and supportive policies for LGB communities than many countries, both in Europe and Latin America. So why would LGB immigrants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matches research finding U.S.-born LGB individuals to also be more likely to live in states with affirming policies</w:t>
      </w:r>
      <w:r>
        <w:t xml:space="preserve"> </w:t>
      </w:r>
      <w:r>
        <w:t xml:space="preserve">(Beaudin, 2017)</w:t>
      </w:r>
      <w:r>
        <w:t xml:space="preserve"> </w:t>
      </w:r>
      <w:r>
        <w:t xml:space="preserve">and research on privileged same-sex immigrant couples in other national contexts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 despite realities.</w:t>
      </w:r>
    </w:p>
    <w:p>
      <w:pPr>
        <w:pStyle w:val="BodyText"/>
      </w:pPr>
      <w:r>
        <w:t xml:space="preserve">Finally xx how to frame this within the context of previous migration research, especially</w:t>
      </w:r>
      <w:r>
        <w:t xml:space="preserve"> </w:t>
      </w:r>
      <w:r>
        <w:t xml:space="preserve">“</w:t>
      </w:r>
      <w:r>
        <w:t xml:space="preserve">pioneer</w:t>
      </w:r>
      <w:r>
        <w:t xml:space="preserve">”</w:t>
      </w:r>
      <w:r>
        <w:t xml:space="preserve"> </w:t>
      </w:r>
      <w:r>
        <w:t xml:space="preserve">migrants.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those affected by climate policy or the salience of the Black Lives Matter movement to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Results in the Online Appendix show stronger results for containing one U.S.-born and one immigrant member, compared to couples with two immigrants.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and relatedly, this is an analysis of cohabiting couples. This particular focus has a two-part justification: the DOMA decision itself carries significant relevance to couples and, therefore, the American Community Survey’s attention to cohabitating couples is appropriate. Nevertheless, this means our findings are unable to be generalized to non-cohabitating couples nor single migrants. Moreover, while we shed light on some differences between one-immigrants and two-immigrant couples in the Appendix, we do not fully assess the distinctions between these types of LGB couples as our primary emphasis is contrasting between same-sex and different-sex couples originating from the same country. Future incorporation of these different types of LGB immigrants and relationship formations, especially within nationally representative surveys, is thus urgently needed. The incorporation of such individuals may likely augment the findings presented here in a few particular ways. For example, as mentioned, supportive policy environments may both be the result of and further reinforce self-disclosure and same-sex coupledom. Consequently, data on single LGB migrants may include a more diverse set of origin policy environments while reinforcing the current socioeconomic demographics we present</w:t>
      </w:r>
      <w:r>
        <w:t xml:space="preserve"> </w:t>
      </w:r>
      <w:r>
        <w:t xml:space="preserve">(Choi, 2022)</w:t>
      </w:r>
      <w:r>
        <w:t xml:space="preserve">. If single LGB individuals are more likely to come from repressive contexts or may disproportionately access other visa pathways via employment or asylum, then the LGB sample identified by the ACS will systematically exclude migrants from less favorable policy environments. However, given that U.S. immigration prioritizes family unity, two-immigrant couples may disproportionately also come from countries where both immigrants previously achieved legal marriage recognition and, therefore, further reinforce these findings. Finally, although the cultural and geographic variation in responses shown in Table</w:t>
      </w:r>
      <w:r>
        <w:t xml:space="preserve"> </w:t>
      </w:r>
      <w:r>
        <w:t xml:space="preserve">1</w:t>
      </w:r>
      <w:r>
        <w:t xml:space="preserve"> </w:t>
      </w:r>
      <w:r>
        <w:t xml:space="preserve">suggests that responses are not a function of culture alone, future work must attend to whether response rates correlate with country-of-origin policies. As such, our results cannot generalize to U.S. immigrants who remain single or do not cohabit, whether LGB or straight.</w:t>
      </w:r>
    </w:p>
    <w:p>
      <w:pPr>
        <w:pStyle w:val="BodyText"/>
      </w:pPr>
      <w:r>
        <w:t xml:space="preserve">Fifth, although we find compelling patterns, our statistical investigation cannot determine why these couples are deciding to migrate to the U.S. and their motivations for choosing their state of residence. We encourage future scholarship to further investigate these processes and mechanisms. Finally, our results are descriptive, not causal; more rigorous methods of causal inference are necessary to invoke causality.</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to borrow the line from Theda Skocpol</w:t>
      </w:r>
      <w:r>
        <w:t xml:space="preserve"> </w:t>
      </w:r>
      <w:r>
        <w:t xml:space="preserve">(1985)</w:t>
      </w:r>
      <w:r>
        <w:t xml:space="preserve">, we are</w:t>
      </w:r>
      <w:r>
        <w:t xml:space="preserve"> </w:t>
      </w:r>
      <w:r>
        <w:t xml:space="preserve">“</w:t>
      </w:r>
      <w:r>
        <w:t xml:space="preserve">bringing the state back in.</w:t>
      </w:r>
      <w:r>
        <w:t xml:space="preserve">”</w:t>
      </w:r>
      <w:r>
        <w:t xml:space="preserve"> </w:t>
      </w:r>
      <w:r>
        <w:t xml:space="preserve">Conventionally, state policies are less integrated into models of migration, especially those policies that do not explicitly govern migration. But what this study demonstrates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country. This points to the importance of further studying the role of identity, and the state’s governance of it, in migratory processes.</w:t>
      </w:r>
    </w:p>
    <w:bookmarkEnd w:id="34"/>
    <w:bookmarkStart w:id="163" w:name="references"/>
    <w:p>
      <w:pPr>
        <w:pStyle w:val="Heading1"/>
      </w:pPr>
      <w:r>
        <w:t xml:space="preserve">References</w:t>
      </w:r>
    </w:p>
    <w:p>
      <w:pPr>
        <w:pStyle w:val="FirstParagraph"/>
      </w:pPr>
    </w:p>
    <w:bookmarkStart w:id="162" w:name="refs"/>
    <w:bookmarkStart w:id="35"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5"/>
    <w:bookmarkStart w:id="36"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6"/>
    <w:bookmarkStart w:id="38"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7">
        <w:r>
          <w:rPr>
            <w:rStyle w:val="Hyperlink"/>
          </w:rPr>
          <w:t xml:space="preserve">https://doi.org/10.1080/1369183X.2016.1243050</w:t>
        </w:r>
      </w:hyperlink>
    </w:p>
    <w:bookmarkEnd w:id="38"/>
    <w:bookmarkStart w:id="39"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39"/>
    <w:bookmarkStart w:id="41"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0">
        <w:r>
          <w:rPr>
            <w:rStyle w:val="Hyperlink"/>
          </w:rPr>
          <w:t xml:space="preserve">https://doi.org/10.1080/1369183X.2018.1497955</w:t>
        </w:r>
      </w:hyperlink>
    </w:p>
    <w:bookmarkEnd w:id="41"/>
    <w:bookmarkStart w:id="42"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2"/>
    <w:bookmarkStart w:id="44"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3">
        <w:r>
          <w:rPr>
            <w:rStyle w:val="Hyperlink"/>
          </w:rPr>
          <w:t xml:space="preserve">https://doi.org/10.1177/0192513X12464872</w:t>
        </w:r>
      </w:hyperlink>
    </w:p>
    <w:bookmarkEnd w:id="44"/>
    <w:bookmarkStart w:id="46"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5">
        <w:r>
          <w:rPr>
            <w:rStyle w:val="Hyperlink"/>
          </w:rPr>
          <w:t xml:space="preserve">https://doi.org/10.1007/978-94-007-5512-3</w:t>
        </w:r>
      </w:hyperlink>
    </w:p>
    <w:bookmarkEnd w:id="46"/>
    <w:bookmarkStart w:id="47"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7"/>
    <w:bookmarkStart w:id="49"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8">
        <w:r>
          <w:rPr>
            <w:rStyle w:val="Hyperlink"/>
          </w:rPr>
          <w:t xml:space="preserve">https://doi.org/10.1007/978-3-030-10910-3_11</w:t>
        </w:r>
      </w:hyperlink>
    </w:p>
    <w:bookmarkEnd w:id="49"/>
    <w:bookmarkStart w:id="50"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0"/>
    <w:bookmarkStart w:id="52"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1">
        <w:r>
          <w:rPr>
            <w:rStyle w:val="Hyperlink"/>
          </w:rPr>
          <w:t xml:space="preserve">https://doi.org/10.1080/00036846.2016.1251565</w:t>
        </w:r>
      </w:hyperlink>
    </w:p>
    <w:bookmarkEnd w:id="52"/>
    <w:bookmarkStart w:id="54"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3">
        <w:r>
          <w:rPr>
            <w:rStyle w:val="Hyperlink"/>
          </w:rPr>
          <w:t xml:space="preserve">https://doi.org/10.1111/j.1467-954X.2009.01864.x</w:t>
        </w:r>
      </w:hyperlink>
    </w:p>
    <w:bookmarkEnd w:id="54"/>
    <w:bookmarkStart w:id="55"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5"/>
    <w:bookmarkStart w:id="56"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6"/>
    <w:bookmarkStart w:id="57"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7"/>
    <w:bookmarkStart w:id="59"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8">
        <w:r>
          <w:rPr>
            <w:rStyle w:val="Hyperlink"/>
          </w:rPr>
          <w:t xml:space="preserve">https://doi.org/10.2307/2546424</w:t>
        </w:r>
      </w:hyperlink>
    </w:p>
    <w:bookmarkEnd w:id="59"/>
    <w:bookmarkStart w:id="61"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0">
        <w:r>
          <w:rPr>
            <w:rStyle w:val="Hyperlink"/>
          </w:rPr>
          <w:t xml:space="preserve">https://doi.org/10.1080/01621459.1988.10478575</w:t>
        </w:r>
      </w:hyperlink>
    </w:p>
    <w:bookmarkEnd w:id="61"/>
    <w:bookmarkStart w:id="62"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2"/>
    <w:bookmarkStart w:id="63"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3"/>
    <w:bookmarkStart w:id="64"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4"/>
    <w:bookmarkStart w:id="66"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5">
        <w:r>
          <w:rPr>
            <w:rStyle w:val="Hyperlink"/>
          </w:rPr>
          <w:t xml:space="preserve">https://doi.org/10.1177/00380385211073237</w:t>
        </w:r>
      </w:hyperlink>
    </w:p>
    <w:bookmarkEnd w:id="66"/>
    <w:bookmarkStart w:id="68"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7">
        <w:r>
          <w:rPr>
            <w:rStyle w:val="Hyperlink"/>
          </w:rPr>
          <w:t xml:space="preserve">https://doi.org/10.1111/kykl.12206</w:t>
        </w:r>
      </w:hyperlink>
    </w:p>
    <w:bookmarkEnd w:id="68"/>
    <w:bookmarkStart w:id="69"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69"/>
    <w:bookmarkStart w:id="70"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0"/>
    <w:bookmarkStart w:id="72"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1">
        <w:r>
          <w:rPr>
            <w:rStyle w:val="Hyperlink"/>
          </w:rPr>
          <w:t xml:space="preserve">https://doi.org/10.1186/s40878-020-00210-4</w:t>
        </w:r>
      </w:hyperlink>
    </w:p>
    <w:bookmarkEnd w:id="72"/>
    <w:bookmarkStart w:id="74"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3">
        <w:r>
          <w:rPr>
            <w:rStyle w:val="Hyperlink"/>
          </w:rPr>
          <w:t xml:space="preserve">https://doi.org/10.1080/1369183X.2017.1420466</w:t>
        </w:r>
      </w:hyperlink>
    </w:p>
    <w:bookmarkEnd w:id="74"/>
    <w:bookmarkStart w:id="76"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5">
        <w:r>
          <w:rPr>
            <w:rStyle w:val="Hyperlink"/>
          </w:rPr>
          <w:t xml:space="preserve">https://doi.org/10.1016/j.geoforum.2015.11.007</w:t>
        </w:r>
      </w:hyperlink>
    </w:p>
    <w:bookmarkEnd w:id="76"/>
    <w:bookmarkStart w:id="78"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7">
        <w:r>
          <w:rPr>
            <w:rStyle w:val="Hyperlink"/>
          </w:rPr>
          <w:t xml:space="preserve">https://doi.org/10.1177/0011392119850231</w:t>
        </w:r>
      </w:hyperlink>
    </w:p>
    <w:bookmarkEnd w:id="78"/>
    <w:bookmarkStart w:id="79"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79"/>
    <w:bookmarkStart w:id="81"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0">
        <w:r>
          <w:rPr>
            <w:rStyle w:val="Hyperlink"/>
          </w:rPr>
          <w:t xml:space="preserve">https://doi.org/10.1257/aer.20130954</w:t>
        </w:r>
      </w:hyperlink>
    </w:p>
    <w:bookmarkEnd w:id="81"/>
    <w:bookmarkStart w:id="83"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2">
        <w:r>
          <w:rPr>
            <w:rStyle w:val="Hyperlink"/>
          </w:rPr>
          <w:t xml:space="preserve">https://doi.org/10.1146/annurev-soc-121919-054639</w:t>
        </w:r>
      </w:hyperlink>
    </w:p>
    <w:bookmarkEnd w:id="83"/>
    <w:bookmarkStart w:id="85"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4">
        <w:r>
          <w:rPr>
            <w:rStyle w:val="Hyperlink"/>
          </w:rPr>
          <w:t xml:space="preserve">https://doi.org/10.1017/S0043887114000112</w:t>
        </w:r>
      </w:hyperlink>
    </w:p>
    <w:bookmarkEnd w:id="85"/>
    <w:bookmarkStart w:id="87"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86">
        <w:r>
          <w:rPr>
            <w:rStyle w:val="Hyperlink"/>
          </w:rPr>
          <w:t xml:space="preserve">https://doi.org/10.1177/1065912915621175</w:t>
        </w:r>
      </w:hyperlink>
    </w:p>
    <w:bookmarkEnd w:id="87"/>
    <w:bookmarkStart w:id="88"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88"/>
    <w:bookmarkStart w:id="89"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9"/>
    <w:bookmarkStart w:id="91"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0">
        <w:r>
          <w:rPr>
            <w:rStyle w:val="Hyperlink"/>
          </w:rPr>
          <w:t xml:space="preserve">https://doi.org/10.1080/1369183X.2018.1500172</w:t>
        </w:r>
      </w:hyperlink>
    </w:p>
    <w:bookmarkEnd w:id="91"/>
    <w:bookmarkStart w:id="92"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2"/>
    <w:bookmarkStart w:id="93"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3"/>
    <w:bookmarkStart w:id="94"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4"/>
    <w:bookmarkStart w:id="96"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5">
        <w:r>
          <w:rPr>
            <w:rStyle w:val="Hyperlink"/>
          </w:rPr>
          <w:t xml:space="preserve">https://doi.org/10.1080/14649360902853262</w:t>
        </w:r>
      </w:hyperlink>
    </w:p>
    <w:bookmarkEnd w:id="96"/>
    <w:bookmarkStart w:id="97"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97"/>
    <w:bookmarkStart w:id="99"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98">
        <w:r>
          <w:rPr>
            <w:rStyle w:val="Hyperlink"/>
          </w:rPr>
          <w:t xml:space="preserve">https://doi.org/10.7551/mitpress/3303.001.0001</w:t>
        </w:r>
      </w:hyperlink>
    </w:p>
    <w:bookmarkEnd w:id="99"/>
    <w:bookmarkStart w:id="100"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0"/>
    <w:bookmarkStart w:id="101"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1"/>
    <w:bookmarkStart w:id="102"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2"/>
    <w:bookmarkStart w:id="103"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3"/>
    <w:bookmarkStart w:id="104"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04"/>
    <w:bookmarkStart w:id="106"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05">
        <w:r>
          <w:rPr>
            <w:rStyle w:val="Hyperlink"/>
          </w:rPr>
          <w:t xml:space="preserve">https://doi.org/10.4324/9780203849200</w:t>
        </w:r>
      </w:hyperlink>
    </w:p>
    <w:bookmarkEnd w:id="106"/>
    <w:bookmarkStart w:id="107"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07"/>
    <w:bookmarkStart w:id="108"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08"/>
    <w:bookmarkStart w:id="110"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09">
        <w:r>
          <w:rPr>
            <w:rStyle w:val="Hyperlink"/>
          </w:rPr>
          <w:t xml:space="preserve">https://doi.org/10.1177/1363460714552251</w:t>
        </w:r>
      </w:hyperlink>
    </w:p>
    <w:bookmarkEnd w:id="110"/>
    <w:bookmarkStart w:id="112"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1">
        <w:r>
          <w:rPr>
            <w:rStyle w:val="Hyperlink"/>
          </w:rPr>
          <w:t xml:space="preserve">https://doi.org/10.1215/10642684-2007-029</w:t>
        </w:r>
      </w:hyperlink>
    </w:p>
    <w:bookmarkEnd w:id="112"/>
    <w:bookmarkStart w:id="113"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3"/>
    <w:bookmarkStart w:id="115"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14">
        <w:r>
          <w:rPr>
            <w:rStyle w:val="Hyperlink"/>
          </w:rPr>
          <w:t xml:space="preserve">https://doi.org/10.1080/17450100903195318</w:t>
        </w:r>
      </w:hyperlink>
    </w:p>
    <w:bookmarkEnd w:id="115"/>
    <w:bookmarkStart w:id="116"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16"/>
    <w:bookmarkStart w:id="118"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17">
        <w:r>
          <w:rPr>
            <w:rStyle w:val="Hyperlink"/>
          </w:rPr>
          <w:t xml:space="preserve">https://doi.org/10.1007/s12122-020-09305-4</w:t>
        </w:r>
      </w:hyperlink>
    </w:p>
    <w:bookmarkEnd w:id="118"/>
    <w:bookmarkStart w:id="120"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19">
        <w:r>
          <w:rPr>
            <w:rStyle w:val="Hyperlink"/>
          </w:rPr>
          <w:t xml:space="preserve">https://doi.org/10.2307/3644186</w:t>
        </w:r>
      </w:hyperlink>
    </w:p>
    <w:bookmarkEnd w:id="120"/>
    <w:bookmarkStart w:id="121"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1"/>
    <w:bookmarkStart w:id="123"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2">
        <w:r>
          <w:rPr>
            <w:rStyle w:val="Hyperlink"/>
          </w:rPr>
          <w:t xml:space="preserve">https://doi.org/10.2139/ssrn.1994531</w:t>
        </w:r>
      </w:hyperlink>
    </w:p>
    <w:bookmarkEnd w:id="123"/>
    <w:bookmarkStart w:id="124"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24"/>
    <w:bookmarkStart w:id="125"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25"/>
    <w:bookmarkStart w:id="126"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26"/>
    <w:bookmarkStart w:id="127"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27"/>
    <w:bookmarkStart w:id="128"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28"/>
    <w:bookmarkStart w:id="130"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29">
        <w:r>
          <w:rPr>
            <w:rStyle w:val="Hyperlink"/>
          </w:rPr>
          <w:t xml:space="preserve">https://doi.org/10.1080/13691058.2016.1184314</w:t>
        </w:r>
      </w:hyperlink>
    </w:p>
    <w:bookmarkEnd w:id="130"/>
    <w:bookmarkStart w:id="132"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1">
        <w:r>
          <w:rPr>
            <w:rStyle w:val="Hyperlink"/>
          </w:rPr>
          <w:t xml:space="preserve">https://doi.org/10.31235/osf.io/mzuwe</w:t>
        </w:r>
      </w:hyperlink>
    </w:p>
    <w:bookmarkEnd w:id="132"/>
    <w:bookmarkStart w:id="134"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3">
        <w:r>
          <w:rPr>
            <w:rStyle w:val="Hyperlink"/>
          </w:rPr>
          <w:t xml:space="preserve">https://doi.org/10.1093/migration/mnab007</w:t>
        </w:r>
      </w:hyperlink>
    </w:p>
    <w:bookmarkEnd w:id="134"/>
    <w:bookmarkStart w:id="135"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35"/>
    <w:bookmarkStart w:id="137"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36">
        <w:r>
          <w:rPr>
            <w:rStyle w:val="Hyperlink"/>
          </w:rPr>
          <w:t xml:space="preserve">https://doi.org/10.1080/19436149.2020.1704501</w:t>
        </w:r>
      </w:hyperlink>
    </w:p>
    <w:bookmarkEnd w:id="137"/>
    <w:bookmarkStart w:id="139"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38">
        <w:r>
          <w:rPr>
            <w:rStyle w:val="Hyperlink"/>
          </w:rPr>
          <w:t xml:space="preserve">https://doi.org/10.1080/09518398.2015.1017858</w:t>
        </w:r>
      </w:hyperlink>
    </w:p>
    <w:bookmarkEnd w:id="139"/>
    <w:bookmarkStart w:id="141"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0">
        <w:r>
          <w:rPr>
            <w:rStyle w:val="Hyperlink"/>
          </w:rPr>
          <w:t xml:space="preserve">https://doi.org/10.1086/258726</w:t>
        </w:r>
      </w:hyperlink>
    </w:p>
    <w:bookmarkEnd w:id="141"/>
    <w:bookmarkStart w:id="142" w:name="ref-skocpol_1985"/>
    <w:p>
      <w:pPr>
        <w:pStyle w:val="Bibliography"/>
      </w:pPr>
      <w:r>
        <w:t xml:space="preserve">Skocpol, T., Evans, P., &amp; Rueschemeyer, D. (Eds.). (1985).</w:t>
      </w:r>
      <w:r>
        <w:t xml:space="preserve"> </w:t>
      </w:r>
      <w:r>
        <w:rPr>
          <w:iCs/>
          <w:i/>
        </w:rPr>
        <w:t xml:space="preserve">Bringing the</w:t>
      </w:r>
      <w:r>
        <w:rPr>
          <w:iCs/>
          <w:i/>
        </w:rPr>
        <w:t xml:space="preserve"> </w:t>
      </w:r>
      <w:r>
        <w:rPr>
          <w:iCs/>
          <w:i/>
        </w:rPr>
        <w:t xml:space="preserve">State Back In</w:t>
      </w:r>
      <w:r>
        <w:t xml:space="preserve">.</w:t>
      </w:r>
      <w:r>
        <w:t xml:space="preserve"> </w:t>
      </w:r>
      <w:r>
        <w:t xml:space="preserve">Cambridge University Press</w:t>
      </w:r>
      <w:r>
        <w:t xml:space="preserve">.</w:t>
      </w:r>
    </w:p>
    <w:bookmarkEnd w:id="142"/>
    <w:bookmarkStart w:id="143"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3"/>
    <w:bookmarkStart w:id="144"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4"/>
    <w:bookmarkStart w:id="145"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45"/>
    <w:bookmarkStart w:id="147"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46">
        <w:r>
          <w:rPr>
            <w:rStyle w:val="Hyperlink"/>
          </w:rPr>
          <w:t xml:space="preserve">https://doi.org/10.1080/1369183X.2019.1690980</w:t>
        </w:r>
      </w:hyperlink>
    </w:p>
    <w:bookmarkEnd w:id="147"/>
    <w:bookmarkStart w:id="149"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48">
        <w:r>
          <w:rPr>
            <w:rStyle w:val="Hyperlink"/>
          </w:rPr>
          <w:t xml:space="preserve">https://doi.org/10.1111/1468-2435.00066</w:t>
        </w:r>
      </w:hyperlink>
    </w:p>
    <w:bookmarkEnd w:id="149"/>
    <w:bookmarkStart w:id="150"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0"/>
    <w:bookmarkStart w:id="151"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1"/>
    <w:bookmarkStart w:id="152"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2"/>
    <w:bookmarkStart w:id="154"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3">
        <w:r>
          <w:rPr>
            <w:rStyle w:val="Hyperlink"/>
          </w:rPr>
          <w:t xml:space="preserve">https://doi.org/10.1093/sf/soy030</w:t>
        </w:r>
      </w:hyperlink>
    </w:p>
    <w:bookmarkEnd w:id="154"/>
    <w:bookmarkStart w:id="156"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55">
        <w:r>
          <w:rPr>
            <w:rStyle w:val="Hyperlink"/>
          </w:rPr>
          <w:t xml:space="preserve">https://doi.org/10.1111/lasr.12239</w:t>
        </w:r>
      </w:hyperlink>
    </w:p>
    <w:bookmarkEnd w:id="156"/>
    <w:bookmarkStart w:id="158"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57">
        <w:r>
          <w:rPr>
            <w:rStyle w:val="Hyperlink"/>
          </w:rPr>
          <w:t xml:space="preserve">https://doi.org/10.1177/13634607221103207</w:t>
        </w:r>
      </w:hyperlink>
    </w:p>
    <w:bookmarkEnd w:id="158"/>
    <w:bookmarkStart w:id="160"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59">
        <w:r>
          <w:rPr>
            <w:rStyle w:val="Hyperlink"/>
          </w:rPr>
          <w:t xml:space="preserve">https://doi.org/10.1111/j.1467-8330.2011.00876.x</w:t>
        </w:r>
      </w:hyperlink>
    </w:p>
    <w:bookmarkEnd w:id="160"/>
    <w:bookmarkStart w:id="161"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1"/>
    <w:bookmarkEnd w:id="162"/>
    <w:p>
      <w:r>
        <w:br w:type="page"/>
      </w:r>
    </w:p>
    <w:bookmarkEnd w:id="163"/>
    <w:bookmarkStart w:id="164" w:name="tables"/>
    <w:p>
      <w:pPr>
        <w:pStyle w:val="Heading1"/>
      </w:pPr>
      <w:r>
        <w:t xml:space="preserve">Tables</w:t>
      </w:r>
    </w:p>
    <w:p>
      <w:pPr>
        <w:pStyle w:val="TableCaption"/>
      </w:pPr>
      <w:r>
        <w:t xml:space="preserve">Table 1:</w:t>
      </w:r>
      <w:r>
        <w:t xml:space="preserve"> </w:t>
      </w:r>
      <w:bookmarkStart w:id="9d189b27-5703-4e5e-b5b3-bb2918a8f5a8" w:name="tab:country-tab"/>
      <w:r>
        <w:t xml:space="preserve">Sending countries ranked by proportion immigrant couples with same-sex partners</w:t>
      </w:r>
      <w:bookmarkEnd w:id="9d189b27-5703-4e5e-b5b3-bb2918a8f5a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Zealand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2.18 %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(1.22 %, 3.15 %)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France</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2.09 %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(1.62 %, 2.55 %)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6.3</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f2d12551-90cf-4fb8-97de-4d02d6f4ca74" w:name="tab:state-tab"/>
      <w:r>
        <w:t xml:space="preserve">States ranked by proportion immigrant couples with same-sex partners</w:t>
      </w:r>
      <w:bookmarkEnd w:id="f2d12551-90cf-4fb8-97de-4d02d6f4ca7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Florida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1.00 %)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1.3</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Iowa</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(0.31 %, 1.26 %)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5.0</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d90fabab-7203-468a-a086-332e068d124e" w:name="tab:state-props"/>
      <w:r>
        <w:t xml:space="preserve">Percent same-sex in by country of origin, U.S. state, and survey year.</w:t>
      </w:r>
      <w:bookmarkEnd w:id="d90fabab-7203-468a-a086-332e068d124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0.209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0.120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0.207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0.117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(0.060)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0.088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0.055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(0.044)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0.022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0.045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(0.105)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36387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4"/>
    <w:bookmarkStart w:id="186"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66" name="Picture"/>
            <a:graphic>
              <a:graphicData uri="http://schemas.openxmlformats.org/drawingml/2006/picture">
                <pic:pic>
                  <pic:nvPicPr>
                    <pic:cNvPr descr="ssimm_desc_files/figure-docx/total-pop-1.png" id="167" name="Picture"/>
                    <pic:cNvPicPr>
                      <a:picLocks noChangeArrowheads="1" noChangeAspect="1"/>
                    </pic:cNvPicPr>
                  </pic:nvPicPr>
                  <pic:blipFill>
                    <a:blip r:embed="rId16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69" name="Picture"/>
            <a:graphic>
              <a:graphicData uri="http://schemas.openxmlformats.org/drawingml/2006/picture">
                <pic:pic>
                  <pic:nvPicPr>
                    <pic:cNvPr descr="ssimm_desc_files/figure-docx/desc-country-1.png" id="170" name="Picture"/>
                    <pic:cNvPicPr>
                      <a:picLocks noChangeArrowheads="1" noChangeAspect="1"/>
                    </pic:cNvPicPr>
                  </pic:nvPicPr>
                  <pic:blipFill>
                    <a:blip r:embed="rId168"/>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2" name="Picture"/>
            <a:graphic>
              <a:graphicData uri="http://schemas.openxmlformats.org/drawingml/2006/picture">
                <pic:pic>
                  <pic:nvPicPr>
                    <pic:cNvPr descr="ssimm_desc_files/figure-docx/desc-ind-1.png" id="173" name="Picture"/>
                    <pic:cNvPicPr>
                      <a:picLocks noChangeArrowheads="1" noChangeAspect="1"/>
                    </pic:cNvPicPr>
                  </pic:nvPicPr>
                  <pic:blipFill>
                    <a:blip r:embed="rId17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75" name="Picture"/>
            <a:graphic>
              <a:graphicData uri="http://schemas.openxmlformats.org/drawingml/2006/picture">
                <pic:pic>
                  <pic:nvPicPr>
                    <pic:cNvPr descr="ssimm_desc_files/figure-docx/policy-desc-1.png" id="176" name="Picture"/>
                    <pic:cNvPicPr>
                      <a:picLocks noChangeArrowheads="1" noChangeAspect="1"/>
                    </pic:cNvPicPr>
                  </pic:nvPicPr>
                  <pic:blipFill>
                    <a:blip r:embed="rId17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78" name="Picture"/>
            <a:graphic>
              <a:graphicData uri="http://schemas.openxmlformats.org/drawingml/2006/picture">
                <pic:pic>
                  <pic:nvPicPr>
                    <pic:cNvPr descr="ssimm_desc_files/figure-docx/country-map-1.png" id="179"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1" name="Picture"/>
            <a:graphic>
              <a:graphicData uri="http://schemas.openxmlformats.org/drawingml/2006/picture">
                <pic:pic>
                  <pic:nvPicPr>
                    <pic:cNvPr descr="ssimm_desc_files/figure-docx/state-map-1.png" id="182"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title="" id="184" name="Picture"/>
            <a:graphic>
              <a:graphicData uri="http://schemas.openxmlformats.org/drawingml/2006/picture">
                <pic:pic>
                  <pic:nvPicPr>
                    <pic:cNvPr descr="ssimm_desc_files/figure-docx/state-sim-1.png" id="185" name="Picture"/>
                    <pic:cNvPicPr>
                      <a:picLocks noChangeArrowheads="1" noChangeAspect="1"/>
                    </pic:cNvPicPr>
                  </pic:nvPicPr>
                  <pic:blipFill>
                    <a:blip r:embed="rId18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w:t>
      </w:r>
    </w:p>
    <w:bookmarkEnd w:id="186"/>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3" Target="media/rId183.png" /><Relationship Type="http://schemas.openxmlformats.org/officeDocument/2006/relationships/image" Id="rId165" Target="media/rId165.png" /><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8" Target="https://doi.org/10.1007/978-3-030-10910-3_11" TargetMode="External" /><Relationship Type="http://schemas.openxmlformats.org/officeDocument/2006/relationships/hyperlink" Id="rId45" Target="https://doi.org/10.1007/978-94-007-5512-3" TargetMode="External" /><Relationship Type="http://schemas.openxmlformats.org/officeDocument/2006/relationships/hyperlink" Id="rId117" Target="https://doi.org/10.1007/s12122-020-09305-4" TargetMode="External" /><Relationship Type="http://schemas.openxmlformats.org/officeDocument/2006/relationships/hyperlink" Id="rId75" Target="https://doi.org/10.1016/j.geoforum.2015.11.007" TargetMode="External" /><Relationship Type="http://schemas.openxmlformats.org/officeDocument/2006/relationships/hyperlink" Id="rId84" Target="https://doi.org/10.1017/S0043887114000112" TargetMode="External" /><Relationship Type="http://schemas.openxmlformats.org/officeDocument/2006/relationships/hyperlink" Id="rId51" Target="https://doi.org/10.1080/00036846.2016.1251565" TargetMode="External" /><Relationship Type="http://schemas.openxmlformats.org/officeDocument/2006/relationships/hyperlink" Id="rId60" Target="https://doi.org/10.1080/01621459.1988.10478575" TargetMode="External" /><Relationship Type="http://schemas.openxmlformats.org/officeDocument/2006/relationships/hyperlink" Id="rId138" Target="https://doi.org/10.1080/09518398.2015.1017858" TargetMode="External" /><Relationship Type="http://schemas.openxmlformats.org/officeDocument/2006/relationships/hyperlink" Id="rId129" Target="https://doi.org/10.1080/13691058.2016.1184314" TargetMode="External" /><Relationship Type="http://schemas.openxmlformats.org/officeDocument/2006/relationships/hyperlink" Id="rId37" Target="https://doi.org/10.1080/1369183X.2016.1243050" TargetMode="External" /><Relationship Type="http://schemas.openxmlformats.org/officeDocument/2006/relationships/hyperlink" Id="rId73" Target="https://doi.org/10.1080/1369183X.2017.1420466" TargetMode="External" /><Relationship Type="http://schemas.openxmlformats.org/officeDocument/2006/relationships/hyperlink" Id="rId40" Target="https://doi.org/10.1080/1369183X.2018.1497955" TargetMode="External" /><Relationship Type="http://schemas.openxmlformats.org/officeDocument/2006/relationships/hyperlink" Id="rId90" Target="https://doi.org/10.1080/1369183X.2018.1500172" TargetMode="External" /><Relationship Type="http://schemas.openxmlformats.org/officeDocument/2006/relationships/hyperlink" Id="rId146" Target="https://doi.org/10.1080/1369183X.2019.1690980" TargetMode="External" /><Relationship Type="http://schemas.openxmlformats.org/officeDocument/2006/relationships/hyperlink" Id="rId95"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36" Target="https://doi.org/10.1080/19436149.2020.1704501" TargetMode="External" /><Relationship Type="http://schemas.openxmlformats.org/officeDocument/2006/relationships/hyperlink" Id="rId140" Target="https://doi.org/10.1086/258726" TargetMode="External" /><Relationship Type="http://schemas.openxmlformats.org/officeDocument/2006/relationships/hyperlink" Id="rId133" Target="https://doi.org/10.1093/migration/mnab007" TargetMode="External" /><Relationship Type="http://schemas.openxmlformats.org/officeDocument/2006/relationships/hyperlink" Id="rId153" Target="https://doi.org/10.1093/sf/soy030" TargetMode="External" /><Relationship Type="http://schemas.openxmlformats.org/officeDocument/2006/relationships/hyperlink" Id="rId148" Target="https://doi.org/10.1111/1468-2435.00066" TargetMode="External" /><Relationship Type="http://schemas.openxmlformats.org/officeDocument/2006/relationships/hyperlink" Id="rId159" Target="https://doi.org/10.1111/j.1467-8330.2011.00876.x" TargetMode="External" /><Relationship Type="http://schemas.openxmlformats.org/officeDocument/2006/relationships/hyperlink" Id="rId53" Target="https://doi.org/10.1111/j.1467-954X.2009.01864.x" TargetMode="External" /><Relationship Type="http://schemas.openxmlformats.org/officeDocument/2006/relationships/hyperlink" Id="rId67" Target="https://doi.org/10.1111/kykl.12206" TargetMode="External" /><Relationship Type="http://schemas.openxmlformats.org/officeDocument/2006/relationships/hyperlink" Id="rId155" Target="https://doi.org/10.1111/lasr.12239" TargetMode="External" /><Relationship Type="http://schemas.openxmlformats.org/officeDocument/2006/relationships/hyperlink" Id="rId82" Target="https://doi.org/10.1146/annurev-soc-121919-054639" TargetMode="External" /><Relationship Type="http://schemas.openxmlformats.org/officeDocument/2006/relationships/hyperlink" Id="rId77" Target="https://doi.org/10.1177/0011392119850231" TargetMode="External" /><Relationship Type="http://schemas.openxmlformats.org/officeDocument/2006/relationships/hyperlink" Id="rId65" Target="https://doi.org/10.1177/00380385211073237" TargetMode="External" /><Relationship Type="http://schemas.openxmlformats.org/officeDocument/2006/relationships/hyperlink" Id="rId43" Target="https://doi.org/10.1177/0192513X12464872" TargetMode="External" /><Relationship Type="http://schemas.openxmlformats.org/officeDocument/2006/relationships/hyperlink" Id="rId86" Target="https://doi.org/10.1177/1065912915621175" TargetMode="External" /><Relationship Type="http://schemas.openxmlformats.org/officeDocument/2006/relationships/hyperlink" Id="rId109" Target="https://doi.org/10.1177/1363460714552251" TargetMode="External" /><Relationship Type="http://schemas.openxmlformats.org/officeDocument/2006/relationships/hyperlink" Id="rId157" Target="https://doi.org/10.1177/13634607221103207" TargetMode="External" /><Relationship Type="http://schemas.openxmlformats.org/officeDocument/2006/relationships/hyperlink" Id="rId71" Target="https://doi.org/10.1186/s40878-020-00210-4" TargetMode="External" /><Relationship Type="http://schemas.openxmlformats.org/officeDocument/2006/relationships/hyperlink" Id="rId111" Target="https://doi.org/10.1215/10642684-2007-029" TargetMode="External" /><Relationship Type="http://schemas.openxmlformats.org/officeDocument/2006/relationships/hyperlink" Id="rId80" Target="https://doi.org/10.1257/aer.20130954" TargetMode="External" /><Relationship Type="http://schemas.openxmlformats.org/officeDocument/2006/relationships/hyperlink" Id="rId122" Target="https://doi.org/10.2139/ssrn.1994531" TargetMode="External" /><Relationship Type="http://schemas.openxmlformats.org/officeDocument/2006/relationships/hyperlink" Id="rId58" Target="https://doi.org/10.2307/2546424" TargetMode="External" /><Relationship Type="http://schemas.openxmlformats.org/officeDocument/2006/relationships/hyperlink" Id="rId119" Target="https://doi.org/10.2307/3644186" TargetMode="External" /><Relationship Type="http://schemas.openxmlformats.org/officeDocument/2006/relationships/hyperlink" Id="rId131" Target="https://doi.org/10.31235/osf.io/mzuwe" TargetMode="External" /><Relationship Type="http://schemas.openxmlformats.org/officeDocument/2006/relationships/hyperlink" Id="rId105" Target="https://doi.org/10.4324/9780203849200" TargetMode="External" /><Relationship Type="http://schemas.openxmlformats.org/officeDocument/2006/relationships/hyperlink" Id="rId98"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2022-10-11T03:44:33Z</dcterms:created>
  <dcterms:modified xsi:type="dcterms:W3CDTF">2022-10-11T03:44:33Z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empowered to migrate by progressive origin-country LGB policy? Using the American Community Survey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Contrary to previous work focusing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vt:lpwstr>
  </property>
  <property fmtid="{D5CDD505-2E9C-101B-9397-08002B2CF9AE}" pid="3" name="bibliography">
    <vt:lpwstr>zotero2.bib</vt:lpwstr>
  </property>
  <property fmtid="{D5CDD505-2E9C-101B-9397-08002B2CF9AE}" pid="4" name="citeproc">
    <vt:lpwstr>False</vt:lpwstr>
  </property>
  <property fmtid="{D5CDD505-2E9C-101B-9397-08002B2CF9AE}" pid="5" name="csl">
    <vt:lpwstr>apa.csl</vt:lpwstr>
  </property>
  <property fmtid="{D5CDD505-2E9C-101B-9397-08002B2CF9AE}" pid="6" name="editor_options">
    <vt:lpwstr/>
  </property>
  <property fmtid="{D5CDD505-2E9C-101B-9397-08002B2CF9AE}" pid="7" name="fontsize">
    <vt:lpwstr>12pt</vt:lpwstr>
  </property>
  <property fmtid="{D5CDD505-2E9C-101B-9397-08002B2CF9AE}" pid="8" name="geometry">
    <vt:lpwstr>margin=1in</vt:lpwstr>
  </property>
  <property fmtid="{D5CDD505-2E9C-101B-9397-08002B2CF9AE}" pid="9" name="header-includes">
    <vt:lpwstr/>
  </property>
  <property fmtid="{D5CDD505-2E9C-101B-9397-08002B2CF9AE}" pid="10" name="indent">
    <vt:lpwstr>True</vt:lpwstr>
  </property>
  <property fmtid="{D5CDD505-2E9C-101B-9397-08002B2CF9AE}" pid="11" name="link-citations">
    <vt:lpwstr>False</vt:lpwstr>
  </property>
  <property fmtid="{D5CDD505-2E9C-101B-9397-08002B2CF9AE}" pid="12" name="linkcolor">
    <vt:lpwstr>black</vt:lpwstr>
  </property>
  <property fmtid="{D5CDD505-2E9C-101B-9397-08002B2CF9AE}" pid="13" name="mainfont">
    <vt:lpwstr>Times New Roman</vt:lpwstr>
  </property>
  <property fmtid="{D5CDD505-2E9C-101B-9397-08002B2CF9AE}" pid="14" name="output">
    <vt:lpwstr/>
  </property>
</Properties>
</file>